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dall'esterno ex art. 30 del D.Lgs. 165/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dall'esterno ex art. 30 del D.Lgs. 165/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